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EC1F" w14:textId="0254767C" w:rsidR="000D7258" w:rsidRDefault="000D7258" w:rsidP="00610111">
      <w:pPr>
        <w:jc w:val="center"/>
        <w:rPr>
          <w:noProof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53655" wp14:editId="77A5A65C">
                <wp:simplePos x="0" y="0"/>
                <wp:positionH relativeFrom="column">
                  <wp:posOffset>3002915</wp:posOffset>
                </wp:positionH>
                <wp:positionV relativeFrom="paragraph">
                  <wp:posOffset>-10697</wp:posOffset>
                </wp:positionV>
                <wp:extent cx="2169197" cy="620112"/>
                <wp:effectExtent l="0" t="0" r="2540" b="2540"/>
                <wp:wrapNone/>
                <wp:docPr id="1146290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97" cy="620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750B" w14:textId="7D5F7563" w:rsidR="000D7258" w:rsidRDefault="000D7258" w:rsidP="000D7258">
                            <w:r>
                              <w:fldChar w:fldCharType="begin"/>
                            </w:r>
                            <w:r>
                              <w:instrText xml:space="preserve"> INCLUDEPICTURE "https://asset.brandfetch.io/iddhjKWVuD/idK8ETOQyN.png"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74688" wp14:editId="26DDBFC0">
                                  <wp:extent cx="2014222" cy="487235"/>
                                  <wp:effectExtent l="0" t="0" r="0" b="0"/>
                                  <wp:docPr id="1163892127" name="Picture 2" descr="Brandfetch | ORCA European Organisation for Caries Research Logos &amp; Brand  Ass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ndfetch | ORCA European Organisation for Caries Research Logos &amp; Brand  Ass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292" cy="571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A53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45pt;margin-top:-.85pt;width:170.8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QmLAIAAFQEAAAOAAAAZHJzL2Uyb0RvYy54bWysVE1v2zAMvQ/YfxB0XxxnadoYcYosRYYB&#10;QVsgHXpWZCk2IIuapMTOfv0o2flY29Owi0yJ1CMf+eTZfVsrchDWVaBzmg6GlAjNoaj0Lqc/X1Zf&#10;7ihxnumCKdAip0fh6P3886dZYzIxghJUISxBEO2yxuS09N5kSeJ4KWrmBmCERqcEWzOPW7tLCssa&#10;RK9VMhoOJ0kDtjAWuHAOTx86J51HfCkF909SOuGJyinW5uNq47oNazKfsWxnmSkr3pfB/qGKmlUa&#10;k56hHphnZG+rd1B1xS04kH7AoU5AyoqLyAHZpMM3bDYlMyJyweY4c26T+3+w/PGwMc+W+PYbtDjA&#10;0JDGuMzhYeDTSluHL1ZK0I8tPJ7bJlpPOB6O0sk0nd5SwtE3QR7pKMAkl9vGOv9dQE2CkVOLY4nd&#10;Yoe1813oKSQkc6CqYlUpFTdBCmKpLDkwHKLysUYE/ytKadJg8q83wwisIVzvkJXGWi6cguXbbdsT&#10;3UJxRP4WOmk4w1cVFrlmzj8zi1pAyqhv/4SLVIBJoLcoKcH+/ug8xOOI0EtJg9rKqfu1Z1ZQon5o&#10;HN40HY+DGONmfHM7wo299myvPXpfLwGZp/iSDI9miPfqZEoL9Ss+g0XIii6mOebOqT+ZS98pHp8R&#10;F4tFDEL5GebXemN4gA6dDiN4aV+ZNf2cPE74EU4qZNmbcXWx4aaGxd6DrOIsQ4O7rvZ9R+lGNfTP&#10;LLyN632MuvwM5n8AAAD//wMAUEsDBBQABgAIAAAAIQA7qeND4gAAAAkBAAAPAAAAZHJzL2Rvd25y&#10;ZXYueG1sTI/LTsMwEEX3SPyDNUhsUOukr7QhkwohHhI7Gh5i58ZDEhGPo9hNwt9jVrAc3aN7z2T7&#10;ybRioN41lhHieQSCuLS64QrhpbifbUE4r1ir1jIhfJODfX5+lqlU25GfaTj4SoQSdqlCqL3vUild&#10;WZNRbm474pB92t4oH86+krpXYyg3rVxE0UYa1XBYqFVHtzWVX4eTQfi4qt6f3PTwOi7Xy+7ucSiS&#10;N10gXl5MN9cgPE3+D4Zf/aAOeXA62hNrJ1qEVbLYBRRhFicgArCNV2sQR4TdJgKZZ/L/B/kPAAAA&#10;//8DAFBLAQItABQABgAIAAAAIQC2gziS/gAAAOEBAAATAAAAAAAAAAAAAAAAAAAAAABbQ29udGVu&#10;dF9UeXBlc10ueG1sUEsBAi0AFAAGAAgAAAAhADj9If/WAAAAlAEAAAsAAAAAAAAAAAAAAAAALwEA&#10;AF9yZWxzLy5yZWxzUEsBAi0AFAAGAAgAAAAhACTl5CYsAgAAVAQAAA4AAAAAAAAAAAAAAAAALgIA&#10;AGRycy9lMm9Eb2MueG1sUEsBAi0AFAAGAAgAAAAhADup40PiAAAACQEAAA8AAAAAAAAAAAAAAAAA&#10;hgQAAGRycy9kb3ducmV2LnhtbFBLBQYAAAAABAAEAPMAAACVBQAAAAA=&#10;" fillcolor="white [3201]" stroked="f" strokeweight=".5pt">
                <v:textbox>
                  <w:txbxContent>
                    <w:p w14:paraId="1603750B" w14:textId="7D5F7563" w:rsidR="000D7258" w:rsidRDefault="000D7258" w:rsidP="000D7258">
                      <w:r>
                        <w:fldChar w:fldCharType="begin"/>
                      </w:r>
                      <w:r>
                        <w:instrText xml:space="preserve"> INCLUDEPICTURE "https://asset.brandfetch.io/iddhjKWVuD/idK8ETOQyN.png"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274688" wp14:editId="26DDBFC0">
                            <wp:extent cx="2014222" cy="487235"/>
                            <wp:effectExtent l="0" t="0" r="0" b="0"/>
                            <wp:docPr id="1163892127" name="Picture 2" descr="Brandfetch | ORCA European Organisation for Caries Research Logos &amp; Brand  Ass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ndfetch | ORCA European Organisation for Caries Research Logos &amp; Brand  Ass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292" cy="571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1C759" wp14:editId="035D6C8E">
                <wp:simplePos x="0" y="0"/>
                <wp:positionH relativeFrom="column">
                  <wp:posOffset>647375</wp:posOffset>
                </wp:positionH>
                <wp:positionV relativeFrom="paragraph">
                  <wp:posOffset>72163</wp:posOffset>
                </wp:positionV>
                <wp:extent cx="2029034" cy="587352"/>
                <wp:effectExtent l="0" t="0" r="3175" b="0"/>
                <wp:wrapNone/>
                <wp:docPr id="1667840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34" cy="58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575C3" w14:textId="5E991C42" w:rsidR="000D7258" w:rsidRDefault="000D7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E065D" wp14:editId="6570E2A7">
                                  <wp:extent cx="1788160" cy="380365"/>
                                  <wp:effectExtent l="0" t="0" r="2540" b="63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71" cy="393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1C759" id="_x0000_s1027" type="#_x0000_t202" style="position:absolute;left:0;text-align:left;margin-left:50.95pt;margin-top:5.7pt;width:159.75pt;height:4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V2MAIAAFsEAAAOAAAAZHJzL2Uyb0RvYy54bWysVE1v2zAMvQ/YfxB0X+w4ST+MOEWWIsOA&#10;oC2QDj0rshwLkEVNUmJnv36UnK92Ow27yKRIPZGPT54+dI0ie2GdBF3Q4SClRGgOpdTbgv54XX65&#10;o8R5pkumQIuCHoSjD7PPn6atyUUGNahSWIIg2uWtKWjtvcmTxPFaNMwNwAiNwQpswzy6dpuUlrWI&#10;3qgkS9ObpAVbGgtcOIe7j32QziJ+VQnun6vKCU9UQbE2H1cb101Yk9mU5VvLTC35sQz2D1U0TGq8&#10;9Az1yDwjOyv/gGokt+Cg8gMOTQJVJbmIPWA3w/RDN+uaGRF7QXKcOdPk/h8sf9qvzYslvvsKHQ4w&#10;ENIalzvcDP10lW3CFyslGEcKD2faROcJx80sze7T0ZgSjrHJ3e1okgWY5HLaWOe/CWhIMApqcSyR&#10;LbZfOd+nnlLCZQ6ULJdSqegEKYiFsmTPcIjKxxoR/F2W0qQt6M1okkZgDeF4j6w01nLpKVi+23RE&#10;llf9bqA8IA0WeoU4w5cSa10x51+YRUlg5yhz/4xLpQDvgqNFSQ3219/2Qz5OCqOUtCixgrqfO2YF&#10;Jeq7xhneD8fjoMnojCe3GTr2OrK5juhdswAkYIgPyvBohnyvTmZloXnD1zAPt2KIaY53F9SfzIXv&#10;hY+viYv5PCahCg3zK702PEAHwsMkXrs3Zs1xXB4H/QQnMbL8w9T63HBSw3znoZJxpIHnntUj/ajg&#10;KIrjawtP5NqPWZd/wuw3AAAA//8DAFBLAwQUAAYACAAAACEAmac1td8AAAAKAQAADwAAAGRycy9k&#10;b3ducmV2LnhtbEyPzU7DMBCE70i8g7VIXBB10hRKQ5wKIX4kbjQFxM2NlyQiXkexm4S3Z3OC24xm&#10;NPtttp1sKwbsfeNIQbyIQCCVzjRUKdgXj5c3IHzQZHTrCBX8oIdtfnqS6dS4kV5x2IVK8Aj5VCuo&#10;Q+hSKX1Zo9V+4Tokzr5cb3Vg21fS9HrkcdvKZRRdS6sb4gu17vC+xvJ7d7QKPi+qjxc/Pb2NyVXS&#10;PTwPxfrdFEqdn013tyACTuGvDDM+o0POTAd3JONFyz6KN1xlEa9AcGG1nMVhTpINyDyT/1/IfwEA&#10;AP//AwBQSwECLQAUAAYACAAAACEAtoM4kv4AAADhAQAAEwAAAAAAAAAAAAAAAAAAAAAAW0NvbnRl&#10;bnRfVHlwZXNdLnhtbFBLAQItABQABgAIAAAAIQA4/SH/1gAAAJQBAAALAAAAAAAAAAAAAAAAAC8B&#10;AABfcmVscy8ucmVsc1BLAQItABQABgAIAAAAIQDpy0V2MAIAAFsEAAAOAAAAAAAAAAAAAAAAAC4C&#10;AABkcnMvZTJvRG9jLnhtbFBLAQItABQABgAIAAAAIQCZpzW13wAAAAoBAAAPAAAAAAAAAAAAAAAA&#10;AIoEAABkcnMvZG93bnJldi54bWxQSwUGAAAAAAQABADzAAAAlgUAAAAA&#10;" fillcolor="white [3201]" stroked="f" strokeweight=".5pt">
                <v:textbox>
                  <w:txbxContent>
                    <w:p w14:paraId="51E575C3" w14:textId="5E991C42" w:rsidR="000D7258" w:rsidRDefault="000D7258">
                      <w:r>
                        <w:rPr>
                          <w:noProof/>
                        </w:rPr>
                        <w:drawing>
                          <wp:inline distT="0" distB="0" distL="0" distR="0" wp14:anchorId="32DE065D" wp14:editId="6570E2A7">
                            <wp:extent cx="1788160" cy="380365"/>
                            <wp:effectExtent l="0" t="0" r="2540" b="63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71" cy="393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6E6871" w14:textId="6CD4EAD1" w:rsidR="000D7258" w:rsidRDefault="000D7258" w:rsidP="00610111">
      <w:pPr>
        <w:jc w:val="center"/>
        <w:rPr>
          <w:noProof/>
        </w:rPr>
      </w:pPr>
    </w:p>
    <w:p w14:paraId="31C46F7D" w14:textId="77777777" w:rsidR="00610111" w:rsidRDefault="00610111" w:rsidP="00610111">
      <w:pPr>
        <w:rPr>
          <w:sz w:val="24"/>
          <w:szCs w:val="24"/>
        </w:rPr>
      </w:pPr>
    </w:p>
    <w:p w14:paraId="55997D76" w14:textId="77777777" w:rsidR="000D7258" w:rsidRPr="00A97A23" w:rsidRDefault="000D7258" w:rsidP="00610111"/>
    <w:p w14:paraId="2E927F47" w14:textId="63C8A99C" w:rsidR="000D7258" w:rsidRPr="00A97A23" w:rsidRDefault="000D7258" w:rsidP="000D7258">
      <w:pPr>
        <w:spacing w:line="276" w:lineRule="auto"/>
        <w:jc w:val="center"/>
        <w:rPr>
          <w:rFonts w:eastAsia="Times New Roman" w:cstheme="minorHAnsi"/>
          <w:color w:val="002060"/>
        </w:rPr>
      </w:pPr>
      <w:r w:rsidRPr="00A97A23">
        <w:rPr>
          <w:rFonts w:eastAsia="Times New Roman" w:cstheme="minorHAnsi"/>
          <w:color w:val="002060"/>
        </w:rPr>
        <w:t>2024 SPRING WEBINAR</w:t>
      </w:r>
    </w:p>
    <w:p w14:paraId="2705EA5E" w14:textId="001B337A" w:rsidR="000D7258" w:rsidRPr="00A97A23" w:rsidRDefault="000D7258" w:rsidP="000D7258">
      <w:pPr>
        <w:spacing w:line="276" w:lineRule="auto"/>
        <w:jc w:val="center"/>
        <w:rPr>
          <w:rFonts w:eastAsia="Times New Roman" w:cstheme="minorHAnsi"/>
          <w:b/>
          <w:bCs/>
          <w:color w:val="002060"/>
        </w:rPr>
      </w:pPr>
      <w:r w:rsidRPr="00A97A23">
        <w:rPr>
          <w:rFonts w:eastAsia="Times New Roman" w:cstheme="minorHAnsi"/>
          <w:b/>
          <w:bCs/>
          <w:color w:val="002060"/>
        </w:rPr>
        <w:t>Are there Alternatives to Fluoride for Caries Management?</w:t>
      </w:r>
    </w:p>
    <w:p w14:paraId="6F518B3B" w14:textId="11C25395" w:rsidR="00610111" w:rsidRPr="00A97A23" w:rsidRDefault="00A97A23" w:rsidP="000D7258">
      <w:pPr>
        <w:spacing w:line="276" w:lineRule="auto"/>
        <w:jc w:val="center"/>
        <w:rPr>
          <w:rFonts w:cstheme="minorHAnsi"/>
          <w:color w:val="002060"/>
        </w:rPr>
      </w:pPr>
      <w:r w:rsidRPr="00A97A2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9F45" wp14:editId="578421B0">
                <wp:simplePos x="0" y="0"/>
                <wp:positionH relativeFrom="margin">
                  <wp:posOffset>-327047</wp:posOffset>
                </wp:positionH>
                <wp:positionV relativeFrom="paragraph">
                  <wp:posOffset>229462</wp:posOffset>
                </wp:positionV>
                <wp:extent cx="6606044" cy="33372"/>
                <wp:effectExtent l="0" t="0" r="23495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044" cy="3337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982C9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75pt,18.05pt" to="494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qNwgEAAOMDAAAOAAAAZHJzL2Uyb0RvYy54bWysU02P0zAQvSPxHyzfadJ2VSBquoddLRcE&#10;K77urjNuLPlLY9Ok/56xk2ZXgJBA5DDyx7w3854n+9vRGnYGjNq7lq9XNWfgpO+0O7X865eHV284&#10;i0m4ThjvoOUXiPz28PLFfggNbHzvTQfIiMTFZggt71MKTVVF2YMVceUDOLpUHq1ItMVT1aEYiN2a&#10;alPXu2rw2AX0EmKk0/vpkh8Kv1Ig00elIiRmWk69pRKxxGOO1WEvmhOK0Gs5tyH+oQsrtKOiC9W9&#10;SIJ9R/0LldUSffQqraS3lVdKSygaSM26/knN514EKFrInBgWm+L/o5UfznfuEcmGIcQmhkfMKkaF&#10;limjwzd606KLOmVjse2y2AZjYpIOd7t6V9/ccCbpbrvdvt5kW6uJJtMFjOkdeMvyouVGu6xKNOL8&#10;PqYp9ZqSj43LMXqjuwdtTNng6XhnkJ1Ffsf6LX1zjWdpVDFDqyclZZUuBibaT6CY7qjjSVMZMlho&#10;hZTg0nrmNY6yM0xRCwuwLn3/ETjnZyiUAfwb8IIolb1LC9hq5/F31dN4bVlN+VcHJt3ZgqPvLuWN&#10;izU0SeV15qnPo/p8X+BP/+bhBwAAAP//AwBQSwMEFAAGAAgAAAAhAKESh4DmAAAADgEAAA8AAABk&#10;cnMvZG93bnJldi54bWxMj0FPwzAMhe9I/IfISFzQlhbW0XVNp2kIaeLExhDXrDFtReOUJt0Kvx5z&#10;gosly+89vy9fjbYVJ+x940hBPI1AIJXONFQpOLw8TlIQPmgyunWECr7Qw6q4vMh1ZtyZdnjah0pw&#10;CPlMK6hD6DIpfVmj1X7qOiS+vbve6sBrX0nT6zOH21beRtFcWt0Qf6h1h5say4/9YBXsXsebp/vF&#10;YZ1sP59xsJ6+N9s3pa6vxoclj/USRMAx/Dngl4H7Q8HFjm4g40WrYJLECUsV3M1jECxYpCkDHRXM&#10;4hnIIpf/MYofAAAA//8DAFBLAQItABQABgAIAAAAIQC2gziS/gAAAOEBAAATAAAAAAAAAAAAAAAA&#10;AAAAAABbQ29udGVudF9UeXBlc10ueG1sUEsBAi0AFAAGAAgAAAAhADj9If/WAAAAlAEAAAsAAAAA&#10;AAAAAAAAAAAALwEAAF9yZWxzLy5yZWxzUEsBAi0AFAAGAAgAAAAhAMdqSo3CAQAA4wMAAA4AAAAA&#10;AAAAAAAAAAAALgIAAGRycy9lMm9Eb2MueG1sUEsBAi0AFAAGAAgAAAAhAKESh4DmAAAADgEAAA8A&#10;AAAAAAAAAAAAAAAAHAQAAGRycy9kb3ducmV2LnhtbFBLBQYAAAAABAAEAPMAAAAvBQAAAAA=&#10;" strokecolor="#099" strokeweight=".5pt">
                <v:stroke joinstyle="miter"/>
                <w10:wrap anchorx="margin"/>
              </v:line>
            </w:pict>
          </mc:Fallback>
        </mc:AlternateContent>
      </w:r>
      <w:r w:rsidR="00610111" w:rsidRPr="00A97A23">
        <w:rPr>
          <w:rFonts w:cstheme="minorHAnsi"/>
          <w:color w:val="002060"/>
        </w:rPr>
        <w:t xml:space="preserve">Saturday </w:t>
      </w:r>
      <w:r w:rsidR="000D7258" w:rsidRPr="00A97A23">
        <w:rPr>
          <w:rFonts w:cstheme="minorHAnsi"/>
          <w:color w:val="002060"/>
        </w:rPr>
        <w:t xml:space="preserve">April 6, 2024 - </w:t>
      </w:r>
      <w:r w:rsidR="00610111" w:rsidRPr="00A97A23">
        <w:rPr>
          <w:rFonts w:cstheme="minorHAnsi"/>
          <w:color w:val="002060"/>
        </w:rPr>
        <w:t xml:space="preserve"> 11 am - 1 pm ET</w:t>
      </w:r>
    </w:p>
    <w:p w14:paraId="147E2D58" w14:textId="1C6CB757" w:rsidR="00610111" w:rsidRPr="00A97A23" w:rsidRDefault="00610111" w:rsidP="000D7258">
      <w:pPr>
        <w:spacing w:line="276" w:lineRule="auto"/>
        <w:jc w:val="center"/>
        <w:rPr>
          <w:rFonts w:cstheme="minorHAnsi"/>
        </w:rPr>
      </w:pPr>
    </w:p>
    <w:p w14:paraId="4B924258" w14:textId="2B583141" w:rsidR="00F44782" w:rsidRPr="00A97A23" w:rsidRDefault="00422BE5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Introduction of </w:t>
      </w:r>
      <w:r w:rsidR="00A97A23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each association, 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w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ebinar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and speakers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- 11:00 to 11:05 am ET</w:t>
      </w:r>
    </w:p>
    <w:p w14:paraId="128EDC9E" w14:textId="2D721AAF" w:rsidR="00F44782" w:rsidRPr="00A97A23" w:rsidRDefault="00F44782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AAC President:</w:t>
      </w: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A97A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Dr. </w:t>
      </w:r>
      <w:r w:rsidR="00A97A23" w:rsidRPr="00A97A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Carlos Gonzalez</w:t>
      </w:r>
    </w:p>
    <w:p w14:paraId="5689569F" w14:textId="2391540F" w:rsidR="00A97A23" w:rsidRDefault="00A97A23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ORCA President</w:t>
      </w:r>
      <w:r w:rsidRPr="00A97A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 Dr. Margherita Fontana</w:t>
      </w:r>
    </w:p>
    <w:p w14:paraId="19528B29" w14:textId="77777777" w:rsidR="004A19EC" w:rsidRPr="00A97A23" w:rsidRDefault="004A19EC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bookmarkStart w:id="0" w:name="_GoBack"/>
      <w:bookmarkEnd w:id="0"/>
    </w:p>
    <w:p w14:paraId="675E02F4" w14:textId="7CD842AE" w:rsidR="00610111" w:rsidRPr="00A97A23" w:rsidRDefault="00610111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Session 1 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11:0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to 11:2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am ET</w:t>
      </w:r>
      <w:r w:rsidR="00422BE5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6CF18A77" w14:textId="0D7FFAA5" w:rsidR="00615AF8" w:rsidRDefault="00615AF8" w:rsidP="00615AF8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How to</w:t>
      </w:r>
      <w:r w:rsidR="006E460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Identify and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Manage Fluoride Hesitancy in Clinical Practice</w:t>
      </w:r>
    </w:p>
    <w:p w14:paraId="6FD99F84" w14:textId="047E7E26" w:rsidR="00615AF8" w:rsidRDefault="00CB7C44" w:rsidP="00615AF8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97A23">
        <w:rPr>
          <w:rStyle w:val="apple-converted-space"/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Speaker</w:t>
      </w:r>
      <w:r w:rsidRPr="00A97A23">
        <w:rPr>
          <w:rStyle w:val="apple-converted-space"/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Pr="00A97A23">
        <w:rPr>
          <w:rStyle w:val="apple-converted-space"/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10111" w:rsidRPr="00A97A23">
        <w:rPr>
          <w:rStyle w:val="apple-converted-space"/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Dr. </w:t>
      </w:r>
      <w:r w:rsidR="00615AF8" w:rsidRPr="00615AF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Donald Chi</w:t>
      </w:r>
    </w:p>
    <w:p w14:paraId="433729D8" w14:textId="69B27525" w:rsidR="00615AF8" w:rsidRPr="00615AF8" w:rsidRDefault="00615AF8" w:rsidP="00615AF8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Despite the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proven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safety and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effectiveness of fluoride</w:t>
      </w:r>
      <w:r w:rsidR="005C7CB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for caries management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fluoride hesitancy among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patients</w:t>
      </w:r>
      <w:r w:rsidR="00E0766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is a growing clinical problem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Clinical fluoride hesitancy</w:t>
      </w:r>
      <w:r w:rsidR="000E4BF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mirrors community-level 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opposition to</w:t>
      </w:r>
      <w:r w:rsidR="000E4BF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water fluoridation</w:t>
      </w:r>
      <w:r w:rsidR="002367A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vaccine hesitancy</w:t>
      </w:r>
      <w:r w:rsidR="00BC494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 medicine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oncerns about fluoride include </w:t>
      </w:r>
      <w:r w:rsidR="000E4BF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its n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0E4BF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</w:t>
      </w:r>
      <w:r w:rsidR="009C635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essity, 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potential side effects and incomplete or inaccurate understanding of </w:t>
      </w:r>
      <w:r w:rsidR="00270CE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its evidence for caries management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</w:t>
      </w:r>
      <w:r w:rsidR="002B3B6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presentation will </w:t>
      </w:r>
      <w:r w:rsidR="005C7CB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emphasize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the reasons </w:t>
      </w:r>
      <w:r w:rsidR="008555A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for 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fluoride hesitancy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 clinical </w:t>
      </w:r>
      <w:r w:rsidRPr="00615AF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strategies to manage fluoride hesitancy in practice</w:t>
      </w:r>
      <w:r w:rsidR="008555A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04BD3AA5" w14:textId="77777777" w:rsidR="00CB7C44" w:rsidRPr="00A97A23" w:rsidRDefault="00CB7C44" w:rsidP="00A97A23">
      <w:pPr>
        <w:spacing w:before="60"/>
        <w:ind w:left="-540"/>
        <w:rPr>
          <w:rFonts w:eastAsiaTheme="minorHAnsi" w:cstheme="minorHAnsi"/>
          <w:color w:val="000000" w:themeColor="text1"/>
          <w:kern w:val="2"/>
          <w14:ligatures w14:val="standardContextual"/>
        </w:rPr>
      </w:pPr>
    </w:p>
    <w:p w14:paraId="38AE233F" w14:textId="7CF1678A" w:rsidR="00B56A97" w:rsidRPr="00A97A23" w:rsidRDefault="00610111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Session 2 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11:2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to 11:4</w:t>
      </w:r>
      <w:r w:rsidR="00F44782"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am ET</w:t>
      </w:r>
    </w:p>
    <w:p w14:paraId="18D4DC5D" w14:textId="47B8E844" w:rsidR="00B56A97" w:rsidRPr="00A97A23" w:rsidRDefault="008555A4" w:rsidP="00A97A23">
      <w:pPr>
        <w:pStyle w:val="li2"/>
        <w:spacing w:before="60" w:beforeAutospacing="0" w:after="0" w:afterAutospacing="0"/>
        <w:ind w:left="-54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Alternatives to Fluoride in the Prevention and Treatment of Dental Caries</w:t>
      </w:r>
      <w:r w:rsidR="00610111" w:rsidRPr="00A97A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</w:t>
      </w:r>
      <w:r w:rsidR="00610111" w:rsidRPr="00A97A23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              </w:t>
      </w:r>
    </w:p>
    <w:p w14:paraId="5B4429B9" w14:textId="4939D7F1" w:rsidR="00B56A97" w:rsidRPr="00A97A23" w:rsidRDefault="00610111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u w:val="single"/>
          <w14:ligatures w14:val="standardContextual"/>
        </w:rPr>
        <w:t>Speaker</w:t>
      </w:r>
      <w:r w:rsidRPr="00A97A23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>:</w:t>
      </w:r>
      <w:r w:rsidRPr="00A97A23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r w:rsidR="00F44782" w:rsidRPr="00A97A23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Dr. </w:t>
      </w:r>
      <w:r w:rsidR="008555A4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Domenick Zero</w:t>
      </w:r>
    </w:p>
    <w:p w14:paraId="5ED0AAA1" w14:textId="77777777" w:rsidR="00B84A3E" w:rsidRDefault="00B84A3E" w:rsidP="00B84A3E">
      <w:pPr>
        <w:pStyle w:val="li2"/>
        <w:spacing w:before="60" w:beforeAutospacing="0" w:after="0" w:afterAutospacing="0"/>
        <w:ind w:left="-54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 xml:space="preserve">Although fluoride remains the most effective and widely used caries management strategy, there is increasing interest in other approaches. </w:t>
      </w:r>
      <w:r w:rsidRPr="00A97A23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 xml:space="preserve">The presentation will provide an overview of current </w:t>
      </w:r>
      <w:r w:rsidRPr="005C7CBD">
        <w:rPr>
          <w:rFonts w:asciiTheme="minorHAnsi" w:eastAsiaTheme="minorHAnsi" w:hAnsiTheme="minorHAnsi" w:cstheme="minorHAnsi"/>
          <w:sz w:val="22"/>
          <w:szCs w:val="22"/>
        </w:rPr>
        <w:t xml:space="preserve">evidence </w:t>
      </w:r>
      <w:r>
        <w:rPr>
          <w:rFonts w:asciiTheme="minorHAnsi" w:eastAsiaTheme="minorHAnsi" w:hAnsiTheme="minorHAnsi" w:cstheme="minorHAnsi"/>
          <w:sz w:val="22"/>
          <w:szCs w:val="22"/>
        </w:rPr>
        <w:t>on</w:t>
      </w:r>
      <w:r w:rsidRPr="005C7CB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potential </w:t>
      </w:r>
      <w:r w:rsidRPr="005C7CBD">
        <w:rPr>
          <w:rFonts w:asciiTheme="minorHAnsi" w:eastAsiaTheme="minorHAnsi" w:hAnsiTheme="minorHAnsi" w:cstheme="minorHAnsi"/>
          <w:sz w:val="22"/>
          <w:szCs w:val="22"/>
        </w:rPr>
        <w:t xml:space="preserve">fluoride alternatives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for caries management. </w:t>
      </w:r>
    </w:p>
    <w:p w14:paraId="5C57EA79" w14:textId="77777777" w:rsidR="005C7CBD" w:rsidRPr="00A97A23" w:rsidRDefault="005C7CBD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</w:p>
    <w:p w14:paraId="05BCF04A" w14:textId="0F830FF7" w:rsidR="00B56A97" w:rsidRPr="000E1FAE" w:rsidRDefault="00610111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Session 3 </w:t>
      </w:r>
      <w:r w:rsidR="00F44782"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11:4</w:t>
      </w:r>
      <w:r w:rsidR="00F44782"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="00422BE5"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am to 12:0</w:t>
      </w:r>
      <w:r w:rsidR="00F44782"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5</w:t>
      </w:r>
      <w:r w:rsidRPr="000E1FAE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 pm ET</w:t>
      </w:r>
    </w:p>
    <w:p w14:paraId="2533AB23" w14:textId="194DCAD4" w:rsidR="000E1FAE" w:rsidRPr="000E1FAE" w:rsidRDefault="00EB2A92" w:rsidP="000E1FAE">
      <w:pPr>
        <w:pStyle w:val="li2"/>
        <w:spacing w:before="60" w:beforeAutospacing="0" w:after="0" w:afterAutospacing="0"/>
        <w:ind w:left="-540"/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How to B</w:t>
      </w:r>
      <w:r w:rsid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uild 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Evidence through Clinical T</w:t>
      </w:r>
      <w:r w:rsidR="000E1FAE" w:rsidRP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rials</w:t>
      </w:r>
      <w:r w:rsid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 and 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C</w:t>
      </w:r>
      <w:r w:rsid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linical 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G</w:t>
      </w:r>
      <w:r w:rsid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uidelines</w:t>
      </w:r>
    </w:p>
    <w:p w14:paraId="3BDE2452" w14:textId="50FDDCCD" w:rsidR="00B56A97" w:rsidRPr="000E1FAE" w:rsidRDefault="00CB7C44" w:rsidP="00A97A23">
      <w:pPr>
        <w:pStyle w:val="li2"/>
        <w:spacing w:before="60" w:beforeAutospacing="0" w:after="0" w:afterAutospacing="0"/>
        <w:ind w:left="-540"/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:u w:val="single"/>
          <w14:ligatures w14:val="standardContextual"/>
        </w:rPr>
      </w:pPr>
      <w:r w:rsidRPr="000E1FAE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u w:val="single"/>
          <w14:ligatures w14:val="standardContextual"/>
        </w:rPr>
        <w:t>Speaker</w:t>
      </w:r>
      <w:r w:rsidRPr="000E1FAE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>:</w:t>
      </w:r>
      <w:r w:rsidRP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r w:rsidR="000E1FAE" w:rsidRPr="000E1FAE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2"/>
          <w:szCs w:val="22"/>
          <w14:ligatures w14:val="standardContextual"/>
        </w:rPr>
        <w:t>Dr. Jan Clarkson</w:t>
      </w:r>
    </w:p>
    <w:p w14:paraId="29857825" w14:textId="08FE8B96" w:rsidR="0009288C" w:rsidRPr="004A19EC" w:rsidRDefault="00CB7C44" w:rsidP="002B3B6D">
      <w:pPr>
        <w:pStyle w:val="li2"/>
        <w:spacing w:before="60" w:beforeAutospacing="0" w:after="0" w:afterAutospacing="0"/>
        <w:ind w:left="-540"/>
        <w:rPr>
          <w:rFonts w:cstheme="minorHAnsi"/>
          <w:sz w:val="22"/>
          <w:szCs w:val="22"/>
        </w:rPr>
      </w:pPr>
      <w:r w:rsidRPr="004A19E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The presentation will </w:t>
      </w:r>
      <w:r w:rsidR="003C0D3C" w:rsidRPr="004A19E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discuss </w:t>
      </w:r>
      <w:r w:rsidR="002B3B6D" w:rsidRPr="004A19E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tools to improve clinical research design, conduct and reporting and to increase usability of research</w:t>
      </w:r>
      <w:r w:rsidR="003C0D3C" w:rsidRPr="004A19E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. </w:t>
      </w:r>
    </w:p>
    <w:p w14:paraId="3A92EDEC" w14:textId="77777777" w:rsidR="002B3B6D" w:rsidRDefault="002B3B6D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</w:p>
    <w:p w14:paraId="443A4A51" w14:textId="7DC2F08B" w:rsidR="00F44782" w:rsidRPr="00A97A23" w:rsidRDefault="00F44782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Session 4 - 12:05 pm to 12:55 pm ET</w:t>
      </w:r>
    </w:p>
    <w:p w14:paraId="2D9EE815" w14:textId="7D8BE326" w:rsidR="00F44782" w:rsidRPr="00A97A23" w:rsidRDefault="00F44782" w:rsidP="00A97A23">
      <w:pPr>
        <w:spacing w:before="60"/>
        <w:ind w:left="-540"/>
        <w:rPr>
          <w:rFonts w:cstheme="minorHAnsi"/>
          <w:b/>
          <w:bCs/>
        </w:rPr>
      </w:pPr>
      <w:r w:rsidRPr="00A97A23">
        <w:rPr>
          <w:rFonts w:cstheme="minorHAnsi"/>
          <w:b/>
          <w:bCs/>
        </w:rPr>
        <w:t>Q &amp; A: all speakers</w:t>
      </w:r>
    </w:p>
    <w:p w14:paraId="5397FF8C" w14:textId="3E0C5476" w:rsidR="00F44782" w:rsidRPr="00A97A23" w:rsidRDefault="00422BE5" w:rsidP="00A97A23">
      <w:pPr>
        <w:spacing w:before="60"/>
        <w:ind w:left="-540"/>
        <w:rPr>
          <w:rFonts w:eastAsiaTheme="minorHAnsi" w:cstheme="minorHAnsi"/>
          <w:color w:val="000000" w:themeColor="text1"/>
          <w:kern w:val="2"/>
          <w14:ligatures w14:val="standardContextual"/>
        </w:rPr>
      </w:pPr>
      <w:r w:rsidRPr="00A97A23">
        <w:rPr>
          <w:rFonts w:eastAsiaTheme="minorHAnsi" w:cstheme="minorHAnsi"/>
          <w:color w:val="000000" w:themeColor="text1"/>
          <w:kern w:val="2"/>
          <w:u w:val="single"/>
          <w14:ligatures w14:val="standardContextual"/>
        </w:rPr>
        <w:t>Moderators:</w:t>
      </w:r>
      <w:r w:rsidRPr="00A97A23">
        <w:rPr>
          <w:rFonts w:eastAsiaTheme="minorHAnsi" w:cstheme="minorHAnsi"/>
          <w:color w:val="000000" w:themeColor="text1"/>
          <w:kern w:val="2"/>
          <w14:ligatures w14:val="standardContextual"/>
        </w:rPr>
        <w:t xml:space="preserve"> TBD</w:t>
      </w:r>
    </w:p>
    <w:p w14:paraId="63850DA9" w14:textId="77777777" w:rsidR="00422BE5" w:rsidRPr="00A97A23" w:rsidRDefault="00422BE5" w:rsidP="00A97A23">
      <w:pPr>
        <w:spacing w:before="60"/>
        <w:ind w:left="-540"/>
        <w:rPr>
          <w:rFonts w:cstheme="minorHAnsi"/>
          <w:b/>
          <w:bCs/>
        </w:rPr>
      </w:pPr>
    </w:p>
    <w:p w14:paraId="155EACE5" w14:textId="3F565225" w:rsidR="00F44782" w:rsidRPr="00A97A23" w:rsidRDefault="00F44782" w:rsidP="00A97A23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Closing remarks - 12:55 pm to 1:00 pm ET</w:t>
      </w:r>
    </w:p>
    <w:p w14:paraId="5D801B44" w14:textId="668232D0" w:rsidR="000E1FAE" w:rsidRPr="00A97A23" w:rsidRDefault="000E1FAE" w:rsidP="000E1FAE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AAC President:</w:t>
      </w: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A97A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Dr. Carlos Gonzalez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70CE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(announce AAC 2024 </w:t>
      </w:r>
      <w:r w:rsidR="000A10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C</w:t>
      </w:r>
      <w:r w:rsidRPr="00270CE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onference)</w:t>
      </w:r>
    </w:p>
    <w:p w14:paraId="5853145E" w14:textId="6FFAA60C" w:rsidR="000E1FAE" w:rsidRPr="00A97A23" w:rsidRDefault="000E1FAE" w:rsidP="000E1FAE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97A23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ORCA President</w:t>
      </w:r>
      <w:r w:rsidRPr="00A97A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 Dr. Margherita Fontana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70CE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(announce ORCA 2024 </w:t>
      </w:r>
      <w:r w:rsidR="000A102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C</w:t>
      </w:r>
      <w:r w:rsidRPr="00270CE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>onference)</w:t>
      </w:r>
    </w:p>
    <w:p w14:paraId="3BA0D310" w14:textId="064142C1" w:rsidR="00422BE5" w:rsidRPr="00A97A23" w:rsidRDefault="00422BE5" w:rsidP="000E1FAE">
      <w:pPr>
        <w:pStyle w:val="li2"/>
        <w:spacing w:before="60" w:beforeAutospacing="0" w:after="0" w:afterAutospacing="0"/>
        <w:ind w:left="-540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</w:pPr>
    </w:p>
    <w:sectPr w:rsidR="00422BE5" w:rsidRPr="00A97A23" w:rsidSect="006947B9">
      <w:pgSz w:w="12240" w:h="15840"/>
      <w:pgMar w:top="5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1DD"/>
    <w:multiLevelType w:val="multilevel"/>
    <w:tmpl w:val="1F2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6C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260D71"/>
    <w:multiLevelType w:val="hybridMultilevel"/>
    <w:tmpl w:val="AB2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3102"/>
    <w:multiLevelType w:val="hybridMultilevel"/>
    <w:tmpl w:val="A804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44"/>
    <w:rsid w:val="0009288C"/>
    <w:rsid w:val="000A1023"/>
    <w:rsid w:val="000D7258"/>
    <w:rsid w:val="000E1FAE"/>
    <w:rsid w:val="000E4BFE"/>
    <w:rsid w:val="001D2D71"/>
    <w:rsid w:val="002367A3"/>
    <w:rsid w:val="00270CE8"/>
    <w:rsid w:val="002B3B6D"/>
    <w:rsid w:val="002E2A6C"/>
    <w:rsid w:val="002E44A7"/>
    <w:rsid w:val="003301E3"/>
    <w:rsid w:val="003C0D3C"/>
    <w:rsid w:val="00422BE5"/>
    <w:rsid w:val="004A19EC"/>
    <w:rsid w:val="005239E9"/>
    <w:rsid w:val="00526467"/>
    <w:rsid w:val="005C7CBD"/>
    <w:rsid w:val="005D3C2E"/>
    <w:rsid w:val="00610111"/>
    <w:rsid w:val="00615AF8"/>
    <w:rsid w:val="006947B9"/>
    <w:rsid w:val="006E4601"/>
    <w:rsid w:val="007D483D"/>
    <w:rsid w:val="008002AA"/>
    <w:rsid w:val="008555A4"/>
    <w:rsid w:val="009C6354"/>
    <w:rsid w:val="00A01ED6"/>
    <w:rsid w:val="00A22AA1"/>
    <w:rsid w:val="00A97A23"/>
    <w:rsid w:val="00B56A97"/>
    <w:rsid w:val="00B66EDB"/>
    <w:rsid w:val="00B84A3E"/>
    <w:rsid w:val="00BC4940"/>
    <w:rsid w:val="00BD2633"/>
    <w:rsid w:val="00C80FD0"/>
    <w:rsid w:val="00CB7C44"/>
    <w:rsid w:val="00CF4B38"/>
    <w:rsid w:val="00DE0E58"/>
    <w:rsid w:val="00E0766B"/>
    <w:rsid w:val="00EB2A92"/>
    <w:rsid w:val="00F13A90"/>
    <w:rsid w:val="00F2190A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9561"/>
  <w15:chartTrackingRefBased/>
  <w15:docId w15:val="{2B73E629-4CA2-1845-9D8B-5368CE94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4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44"/>
    <w:rPr>
      <w:rFonts w:eastAsiaTheme="minorEastAsia"/>
      <w:kern w:val="0"/>
      <w:sz w:val="22"/>
      <w:szCs w:val="22"/>
      <w14:ligatures w14:val="none"/>
    </w:rPr>
  </w:style>
  <w:style w:type="paragraph" w:customStyle="1" w:styleId="li2">
    <w:name w:val="li2"/>
    <w:basedOn w:val="Normal"/>
    <w:rsid w:val="00CB7C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7C44"/>
  </w:style>
  <w:style w:type="paragraph" w:styleId="ListParagraph">
    <w:name w:val="List Paragraph"/>
    <w:basedOn w:val="Normal"/>
    <w:uiPriority w:val="34"/>
    <w:qFormat/>
    <w:rsid w:val="00CB7C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F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E4BFE"/>
    <w:rPr>
      <w:rFonts w:eastAsiaTheme="minorEastAsia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A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3159-1FFE-4970-9C1E-90E2A78AC9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Nascimento,Marcelle</dc:creator>
  <cp:keywords/>
  <dc:description/>
  <cp:lastModifiedBy>Flannagan, Susan</cp:lastModifiedBy>
  <cp:revision>9</cp:revision>
  <dcterms:created xsi:type="dcterms:W3CDTF">2024-03-06T16:58:00Z</dcterms:created>
  <dcterms:modified xsi:type="dcterms:W3CDTF">2024-03-12T18:55:00Z</dcterms:modified>
</cp:coreProperties>
</file>